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BC92" w14:textId="235F7B42" w:rsidR="002334BF" w:rsidRDefault="00FB3420" w:rsidP="00DC27EC">
      <w:pPr>
        <w:pageBreakBefore/>
        <w:widowControl w:val="0"/>
        <w:suppressAutoHyphens/>
        <w:spacing w:after="0" w:line="240" w:lineRule="auto"/>
        <w:ind w:left="4395"/>
        <w:jc w:val="both"/>
        <w:rPr>
          <w:rFonts w:ascii="Times New Roman" w:eastAsia="Arial Unicode MS" w:hAnsi="Times New Roman" w:cs="Tahoma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sz w:val="20"/>
          <w:szCs w:val="20"/>
          <w:lang w:eastAsia="zh-CN"/>
        </w:rPr>
        <w:t>P R O J E K T</w:t>
      </w:r>
    </w:p>
    <w:p w14:paraId="620A151D" w14:textId="20DD532B" w:rsidR="002334BF" w:rsidRDefault="002334BF" w:rsidP="00FE74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br/>
      </w: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br/>
        <w:t xml:space="preserve">Roczny program współpracy Gminy Wohyń  </w:t>
      </w: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br/>
        <w:t xml:space="preserve">z organizacjami pozarządowymi oraz podmiotami wymienionymi w art. 3 ust. 3 </w:t>
      </w: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br/>
        <w:t>ustawy o działalności pożytku publicznego i o wolontariacie na rok 202</w:t>
      </w:r>
      <w:r w:rsidR="00FE747A"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t>2</w:t>
      </w:r>
    </w:p>
    <w:p w14:paraId="37D8DED7" w14:textId="77777777" w:rsidR="002334BF" w:rsidRDefault="002334BF" w:rsidP="002334BF">
      <w:pPr>
        <w:widowControl w:val="0"/>
        <w:suppressAutoHyphens/>
        <w:spacing w:after="0" w:line="240" w:lineRule="auto"/>
        <w:ind w:left="-15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15E9A7C3" w14:textId="77777777" w:rsidR="002334BF" w:rsidRDefault="002334BF" w:rsidP="002334BF">
      <w:pPr>
        <w:widowControl w:val="0"/>
        <w:suppressAutoHyphens/>
        <w:spacing w:after="0" w:line="240" w:lineRule="auto"/>
        <w:ind w:left="-15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>§ 1</w:t>
      </w:r>
    </w:p>
    <w:p w14:paraId="3FD5AC85" w14:textId="77777777" w:rsidR="002334BF" w:rsidRDefault="002334BF" w:rsidP="002334BF">
      <w:pPr>
        <w:widowControl w:val="0"/>
        <w:suppressAutoHyphens/>
        <w:spacing w:after="0" w:line="240" w:lineRule="auto"/>
        <w:ind w:left="-15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Ilekroć w Programie jest mowa o:</w:t>
      </w:r>
    </w:p>
    <w:p w14:paraId="03484B81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1) "ustawie" - rozumie się przez to ustawę z dnia 24 kwietnia 2003 r. o działalności pożytku publicznego i o wolontariacie;</w:t>
      </w:r>
    </w:p>
    <w:p w14:paraId="07853788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2) "Gminie" - rozumie się przez to Gminę Wohyń;</w:t>
      </w:r>
    </w:p>
    <w:p w14:paraId="1CB02192" w14:textId="736061BF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3) programie – rozumie się przez to „</w:t>
      </w:r>
      <w:r w:rsidR="00DE75D4">
        <w:rPr>
          <w:rFonts w:ascii="Times New Roman" w:eastAsia="Arial" w:hAnsi="Times New Roman" w:cs="Arial"/>
          <w:sz w:val="24"/>
          <w:szCs w:val="24"/>
          <w:lang w:eastAsia="zh-CN"/>
        </w:rPr>
        <w:t>R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>oczny program współpracy  Gminy Wohyń z organizacjami pozarządowymi oraz podmiotami wymienionymi w art. 3 ust. 3 ustawy o działalności pożytku publicznego i o wolontariacie na rok 202</w:t>
      </w:r>
      <w:r w:rsidR="00DE75D4">
        <w:rPr>
          <w:rFonts w:ascii="Times New Roman" w:eastAsia="Arial" w:hAnsi="Times New Roman" w:cs="Arial"/>
          <w:sz w:val="24"/>
          <w:szCs w:val="24"/>
          <w:lang w:eastAsia="zh-CN"/>
        </w:rPr>
        <w:t>2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>”;</w:t>
      </w:r>
    </w:p>
    <w:p w14:paraId="2C049B3F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4) "dotacji" - rozumie się przez to dotację w rozumieniu art. 221 ust. 1 ustawy z dnia 29 sierpnia 2009 r. o finansach publicznych;</w:t>
      </w:r>
    </w:p>
    <w:p w14:paraId="47C499D7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5) "konkursie" - rozumie się przez to otwarty konkurs ofert, o którym mowa w art. 11 ust. 2 i w art. 13 ustawy.</w:t>
      </w:r>
    </w:p>
    <w:p w14:paraId="5C4E960C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4DDF30B6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</w:t>
      </w: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 xml:space="preserve"> 2</w:t>
      </w:r>
    </w:p>
    <w:p w14:paraId="065C949B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Celem głównym współpracy samorz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du z organizacjami pozarz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dowymi oraz podmiotami wymienionymi w art. 3 ust. 3 ustawy jest poprawa jako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ci 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ycia oraz pełniejsze zaspokajanie potrzeb społecznych mieszkańców Gminy Wohyń </w:t>
      </w:r>
      <w:r>
        <w:rPr>
          <w:rFonts w:ascii="Times New Roman" w:eastAsia="Times New Roman" w:hAnsi="Times New Roman" w:cs="Tahoma"/>
          <w:sz w:val="24"/>
          <w:szCs w:val="24"/>
          <w:lang w:eastAsia="zh-CN"/>
        </w:rPr>
        <w:t xml:space="preserve">poprzez stwarzanie im możliwości i warunków </w:t>
      </w:r>
      <w:r>
        <w:rPr>
          <w:rFonts w:ascii="Times New Roman" w:eastAsia="Times New Roman" w:hAnsi="Times New Roman" w:cs="Tahoma"/>
          <w:sz w:val="24"/>
          <w:szCs w:val="24"/>
          <w:lang w:eastAsia="zh-CN"/>
        </w:rPr>
        <w:br/>
        <w:t>do uczestnictwa w życiu publicznym.</w:t>
      </w:r>
    </w:p>
    <w:p w14:paraId="28BDB3A9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10A21A76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 xml:space="preserve">§ 3 </w:t>
      </w:r>
    </w:p>
    <w:p w14:paraId="35DDDFF5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ab/>
        <w:t>Celami szczegółowymi programu są:</w:t>
      </w:r>
    </w:p>
    <w:p w14:paraId="1BE59199" w14:textId="77777777" w:rsidR="002334BF" w:rsidRDefault="002334BF" w:rsidP="002334BF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promowanie społeczeństwa obywatelskiego poprzez wspieranie aktywności mieszkańców Gminy;</w:t>
      </w:r>
    </w:p>
    <w:p w14:paraId="510F5B05" w14:textId="77777777" w:rsidR="002334BF" w:rsidRDefault="002334BF" w:rsidP="002334BF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tworzenie warunków do wzmacniania istniej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cych organizacji pozarz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dowych, powstawania nowych organizacji i inicjatyw obywatelskich;</w:t>
      </w:r>
    </w:p>
    <w:p w14:paraId="5523B0BF" w14:textId="77777777" w:rsidR="002334BF" w:rsidRDefault="002334BF" w:rsidP="002334BF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otwarcie na innowacyjność oraz konkurencyjność poprzez umożliwienie organizacjom pozarządowym oraz podmiotom wymienionym w art. 3 ust. 3 ustawy</w:t>
      </w: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 wystąpienia z ofertą realizacji konkretnych zadań publicznych;</w:t>
      </w:r>
    </w:p>
    <w:p w14:paraId="554078BC" w14:textId="77777777" w:rsidR="002334BF" w:rsidRDefault="002334BF" w:rsidP="002334BF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zapewnienie efektywnego wykonywania zada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publicznych gminy przez wł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czenie do ich realizacji organizacji pozarz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dowych oraz podmiotów wymienionych w art. 3 ust. 3 ustawy,</w:t>
      </w:r>
    </w:p>
    <w:p w14:paraId="2564ACF9" w14:textId="77777777" w:rsidR="002334BF" w:rsidRDefault="002334BF" w:rsidP="002334BF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wspieranie rozwoju sektora ekonomii społecznej i wolontariatu.</w:t>
      </w:r>
    </w:p>
    <w:p w14:paraId="224C9CC8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2773B4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4</w:t>
      </w:r>
    </w:p>
    <w:p w14:paraId="348EB26F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Współpraca Gminy z organizacjami pozarządowymi opiera się na następujących zasadach:</w:t>
      </w:r>
    </w:p>
    <w:p w14:paraId="6160117B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1) zasada pomocniczości – Gmina udziela pomocy organizacjom pozarządowym oraz podmiotom wymienionym w art. 3 ust. 3 ustawy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 w realizacji zadań publicznych, w niezbędnym zakresie, uzasadnionym potrzebami wspólnoty samorządowej, a organizacje zapewniają ich wykonanie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  <w:t>w sposób profesjonalny i terminowy;</w:t>
      </w:r>
    </w:p>
    <w:p w14:paraId="3D8B8EA0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2) zasada suwerenności stron – Gmina, organizacje pozarządowe oraz podmioty wymienione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  <w:t>w art. 3 ust. 3 ustawy  nie narzucają sobie nawzajem zadań, szanując swoją autonomię, mogą natomiast zgłaszać wzajemne propozycje i deklaracje, gotowość wysłuchania propozycji drugiej strony;</w:t>
      </w:r>
    </w:p>
    <w:p w14:paraId="2DEB5C07" w14:textId="65CC6366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3) zasada partnerstwa – współpraca pomiędzy Gminą a organizacjami pozarządowymi </w:t>
      </w:r>
      <w:r w:rsidR="00FE747A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>oraz podmiotami wymienionymi w art. 3 ust. 3 ustawy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oparta jest na obopólnych korzyściach, woli i chęci wzajemnych działań, współdziałaniu na rzecz rozwiązywania lokalnych problemów, m.in.: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lastRenderedPageBreak/>
        <w:t>uczestnictwie organizacji w rozeznawaniu i definiowaniu problemów mieszkańców, sugerowaniu zakresu współpracy, proponowaniu standardów usług świadczonych przez organizacje;</w:t>
      </w:r>
    </w:p>
    <w:p w14:paraId="39365275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4) zasada efektywności – Gmina udziela pomocy organizacjom pozarządowym oraz podmiotom wymienionym w art. 3 ust. 3 ustawy  w celu prowadzenia nowatorskich i bardziej skutecznych działań, dążąc do osiągnięcia możliwie najlepszych efektów w realizacji zadań publicznych;</w:t>
      </w:r>
    </w:p>
    <w:p w14:paraId="74062B24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5) zasada uczciwej konkurencji – zarówno Gmina, jak i organizacje pozarządowe oraz podmioty wymienione w art. 3 ust. 3 ustawy działają zgodnie z prawem i dobrymi obyczajami;</w:t>
      </w:r>
    </w:p>
    <w:p w14:paraId="2BB1FFB6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6) zasada jawności – procedury postępowania przy realizacji zadań publicznych przez organizacje  pozarządowe oraz podmioty wymienione w art. 3 ust. 3 ustawy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, sposób udzielania oraz wykonania zadania są jawne; dotyczy to w szczególności udostępniania organizacjom przez Gminę informacji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  <w:t>o celach, kosztach i efektach współpracy, a także środkach finansowych zaplanowanych w budżecie Gminy na współpracę z organizacjami pozarządowymi i podmiotami wymienionymi w art. 3 ust. 3 ustawy oraz kryteriach oceny projektów; zasada ta obliguje również do udostępniania Gminie danych dotyczących struktury organizacyjnej, sposobu funkcjonowania, prowadzenia działalności statutowej oraz sytuacji finansowej.</w:t>
      </w:r>
    </w:p>
    <w:p w14:paraId="66ABB7DD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</w:p>
    <w:p w14:paraId="64B995D0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 5</w:t>
      </w:r>
    </w:p>
    <w:p w14:paraId="3EB5486B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  <w:t>Przedmiotem współpracy Gminy z organizacjami pozarządowymi oraz podmiotami wymienionymi w art. 3 ust. 3 ustawy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jest realizacja zadań Gminy, o których mowa w art. 4 ust. 1 ustawy. </w:t>
      </w:r>
    </w:p>
    <w:p w14:paraId="4BA81460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</w:p>
    <w:p w14:paraId="0A22891C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 6</w:t>
      </w:r>
    </w:p>
    <w:p w14:paraId="69F2AFAA" w14:textId="6D0E2488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Współpraca  z organizacjami pozarządowymi oraz podmiotami wymienionymi w art. 3</w:t>
      </w:r>
      <w:r w:rsidR="00FE747A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ust. 3 ustawy odbywa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dzie poprzez nast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puj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 formy:</w:t>
      </w:r>
    </w:p>
    <w:p w14:paraId="1E4A0B50" w14:textId="77777777" w:rsidR="002334BF" w:rsidRDefault="002334BF" w:rsidP="002334BF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zlecania lub wspierania organizacji pozarządowych oraz podmiotów wymienionym w art. 3 ust. 3 w realizacji zadań publicznych na zasadach określonych w ustawie;</w:t>
      </w:r>
    </w:p>
    <w:p w14:paraId="19A0CDE3" w14:textId="77777777" w:rsidR="002334BF" w:rsidRDefault="002334BF" w:rsidP="002334BF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wzajemnego informowania się o planowanych kierunkach działalności;</w:t>
      </w:r>
    </w:p>
    <w:p w14:paraId="49073E6D" w14:textId="77777777" w:rsidR="002334BF" w:rsidRDefault="002334BF" w:rsidP="002334BF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konsultowania z organizacjami pozarządowymi oraz podmiotami wymienionymi w art. 3 ust. 3 projektów aktów normatywnych w dziedzinach dotyczących działalności statutowej tych organizacji;</w:t>
      </w:r>
    </w:p>
    <w:p w14:paraId="35F2C7F2" w14:textId="77777777" w:rsidR="002334BF" w:rsidRDefault="002334BF" w:rsidP="002334BF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konsultowania projektów aktów normatywnych dotyczących sfery zadań publicznych,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  <w:t>o której mowa w art. 4, z radami działalności pożytku publicznego, w przypadku ich utworzenia przez właściwe jednostki samorządu terytorialnego.</w:t>
      </w:r>
    </w:p>
    <w:p w14:paraId="3DED5B6B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5D8DCCE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 7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ab/>
      </w:r>
    </w:p>
    <w:p w14:paraId="7B9BA8DE" w14:textId="299A0C0E" w:rsidR="002334BF" w:rsidRDefault="002334BF" w:rsidP="002334BF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Arial Unicode MS" w:hAnsi="Times New Roman" w:cs="Arial"/>
          <w:sz w:val="24"/>
          <w:szCs w:val="24"/>
          <w:lang w:eastAsia="zh-CN"/>
        </w:rPr>
      </w:pPr>
      <w:r>
        <w:rPr>
          <w:rFonts w:ascii="Times New Roman" w:eastAsia="Arial Unicode MS" w:hAnsi="Times New Roman" w:cs="Arial"/>
          <w:sz w:val="24"/>
          <w:szCs w:val="24"/>
          <w:lang w:eastAsia="zh-CN"/>
        </w:rPr>
        <w:tab/>
        <w:t>W 202</w:t>
      </w:r>
      <w:r w:rsidR="00FE747A">
        <w:rPr>
          <w:rFonts w:ascii="Times New Roman" w:eastAsia="Arial Unicode MS" w:hAnsi="Times New Roman" w:cs="Arial"/>
          <w:sz w:val="24"/>
          <w:szCs w:val="24"/>
          <w:lang w:eastAsia="zh-CN"/>
        </w:rPr>
        <w:t>2</w:t>
      </w:r>
      <w:r>
        <w:rPr>
          <w:rFonts w:ascii="Times New Roman" w:eastAsia="Arial Unicode MS" w:hAnsi="Times New Roman" w:cs="Arial"/>
          <w:sz w:val="24"/>
          <w:szCs w:val="24"/>
          <w:lang w:eastAsia="zh-CN"/>
        </w:rPr>
        <w:t xml:space="preserve"> r.  priorytetowymi zadaniami publicznymi są:  </w:t>
      </w:r>
    </w:p>
    <w:p w14:paraId="1DAA4B48" w14:textId="77777777" w:rsidR="002334BF" w:rsidRDefault="002334BF" w:rsidP="002334BF">
      <w:pPr>
        <w:widowControl w:val="0"/>
        <w:numPr>
          <w:ilvl w:val="0"/>
          <w:numId w:val="3"/>
        </w:numPr>
        <w:tabs>
          <w:tab w:val="left" w:pos="1353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Arial Unicode MS" w:hAnsi="Times New Roman" w:cs="Arial"/>
          <w:sz w:val="24"/>
          <w:szCs w:val="24"/>
          <w:lang w:eastAsia="zh-CN"/>
        </w:rPr>
        <w:t>organizacja zajęć sportowych dla dzieci, młodzieży i dorosłych;</w:t>
      </w:r>
    </w:p>
    <w:p w14:paraId="2916BBBC" w14:textId="7CB9358A" w:rsidR="002334BF" w:rsidRDefault="002334BF" w:rsidP="002334BF">
      <w:pPr>
        <w:widowControl w:val="0"/>
        <w:numPr>
          <w:ilvl w:val="0"/>
          <w:numId w:val="3"/>
        </w:numPr>
        <w:tabs>
          <w:tab w:val="left" w:pos="1353"/>
        </w:tabs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>organizacja wydarzeń kulturalnych i edukacyjnych, w szczególności koncertów, występów artystycznych, spektakli, konkursów, wystaw, prelekcji</w:t>
      </w:r>
      <w:r w:rsidR="00FE747A">
        <w:rPr>
          <w:rFonts w:ascii="Times New Roman" w:eastAsia="Times New Roman" w:hAnsi="Times New Roman" w:cs="Arial"/>
          <w:sz w:val="24"/>
          <w:szCs w:val="24"/>
          <w:lang w:eastAsia="zh-CN"/>
        </w:rPr>
        <w:t>;</w:t>
      </w:r>
    </w:p>
    <w:p w14:paraId="682CE613" w14:textId="77777777" w:rsidR="002334BF" w:rsidRDefault="002334BF" w:rsidP="002334BF">
      <w:pPr>
        <w:widowControl w:val="0"/>
        <w:numPr>
          <w:ilvl w:val="0"/>
          <w:numId w:val="3"/>
        </w:numPr>
        <w:tabs>
          <w:tab w:val="left" w:pos="1353"/>
        </w:tabs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>pomoc rodzinom oraz osobom w trudnej sytuacji życiowej, w tym wyrównywanie szans tych rodzin,</w:t>
      </w:r>
    </w:p>
    <w:p w14:paraId="1D834B62" w14:textId="77777777" w:rsidR="002334BF" w:rsidRDefault="002334BF" w:rsidP="002334BF">
      <w:pPr>
        <w:widowControl w:val="0"/>
        <w:numPr>
          <w:ilvl w:val="0"/>
          <w:numId w:val="3"/>
        </w:numPr>
        <w:tabs>
          <w:tab w:val="left" w:pos="1353"/>
        </w:tabs>
        <w:suppressAutoHyphens/>
        <w:autoSpaceDE w:val="0"/>
        <w:spacing w:after="0" w:line="240" w:lineRule="auto"/>
        <w:ind w:right="-284"/>
        <w:jc w:val="both"/>
        <w:rPr>
          <w:rFonts w:ascii="Antyk" w:eastAsia="Times New Roman" w:hAnsi="Antyk" w:cs="Antyk"/>
          <w:sz w:val="32"/>
          <w:szCs w:val="20"/>
          <w:lang w:eastAsia="zh-CN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>turystyka, rekreacja w gminie Wohyń.</w:t>
      </w:r>
    </w:p>
    <w:p w14:paraId="50EFB855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7F6488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§ 8</w:t>
      </w:r>
    </w:p>
    <w:p w14:paraId="0D406C1B" w14:textId="65ECD93B" w:rsidR="002334BF" w:rsidRDefault="002334BF" w:rsidP="002334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 współpracy Gminy Wohyń z organizacjami pozarządowymi oraz podmiotami wymienionymi w art. 3 ust. 3 ustawy o działalności pożytku publicznego i o wolontariacie obowi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zuje od 1 stycznia do 31 grudnia 202</w:t>
      </w:r>
      <w:r w:rsidR="00E8280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</w:t>
      </w:r>
    </w:p>
    <w:p w14:paraId="7B801236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B47899D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9</w:t>
      </w:r>
    </w:p>
    <w:p w14:paraId="027750BD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Realizacja programu następuje poprzez</w:t>
      </w:r>
    </w:p>
    <w:p w14:paraId="36610A26" w14:textId="77777777" w:rsidR="002334BF" w:rsidRDefault="002334BF" w:rsidP="002334B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wspieranie  realizacji zadań publicznych przez organizacje pozarządowe oraz podmioty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lastRenderedPageBreak/>
        <w:t>wymienione w art. 3 ust. 3, prowadzące działalność statutową w danej dziedzinie;</w:t>
      </w:r>
    </w:p>
    <w:p w14:paraId="43CF2315" w14:textId="77777777" w:rsidR="002334BF" w:rsidRDefault="002334BF" w:rsidP="002334B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powierzanie realizacji zadań publicznych organizacjom pozarządowym oraz podmiotom wymienionym w art. 3 ust. 3, prowadzącym działalność statutową w danej dziedzinie;</w:t>
      </w:r>
    </w:p>
    <w:p w14:paraId="7C81ADD9" w14:textId="77777777" w:rsidR="002334BF" w:rsidRDefault="002334BF" w:rsidP="002334B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zlecanie organizacjom pozarządowy oraz podmiotom wymienionym w art. 3 ust. 3 ustawy,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  <w:t>z pominięciem otwartego konkursu ofert, realizacji zadania publicznego o charakterze lokalnym lub regionalnym, spełniającego łącznie następujące warunki:</w:t>
      </w:r>
    </w:p>
    <w:p w14:paraId="15F75A24" w14:textId="77777777" w:rsidR="002334BF" w:rsidRDefault="002334BF" w:rsidP="002334BF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  <w:t xml:space="preserve">       a) wysokość dofinansowania lub finansowania zadania publicznego nie przekracza kwoty 10.000 zł,</w:t>
      </w:r>
    </w:p>
    <w:p w14:paraId="4D49D7BE" w14:textId="77777777" w:rsidR="002334BF" w:rsidRDefault="002334BF" w:rsidP="002334BF">
      <w:pPr>
        <w:widowControl w:val="0"/>
        <w:tabs>
          <w:tab w:val="left" w:pos="408"/>
        </w:tabs>
        <w:suppressAutoHyphens/>
        <w:autoSpaceDE w:val="0"/>
        <w:spacing w:after="0" w:line="240" w:lineRule="auto"/>
        <w:ind w:left="408" w:hanging="408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  <w:t xml:space="preserve">     b) zadanie publiczne ma być realizowane w okresie nie dłuższym niż 90 dni.</w:t>
      </w:r>
    </w:p>
    <w:p w14:paraId="24E66480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sz w:val="24"/>
          <w:szCs w:val="24"/>
          <w:lang w:eastAsia="zh-CN"/>
        </w:rPr>
      </w:pPr>
    </w:p>
    <w:p w14:paraId="35AA3920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 10</w:t>
      </w:r>
    </w:p>
    <w:p w14:paraId="5E5E440F" w14:textId="54EEAF26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realizację rocznego programu współpracy Gminy Wohyń z organizacjami pozarządowymi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oraz podmiotami wymienionymi w art. 3 ust. 3 ustawy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o wolontariacie Gmina Wohyń planuje w 202</w:t>
      </w:r>
      <w:r w:rsidR="00FE747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kwotę 25 000 zł. Przeznaczone środki mogą ulec zmianie w trakcie roku budżetowego.</w:t>
      </w:r>
    </w:p>
    <w:p w14:paraId="6165DF92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3EC200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11</w:t>
      </w:r>
    </w:p>
    <w:p w14:paraId="2EA54B4C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Dokonując oceny realizacji „Rocznego programu” bierze się pod uwagę</w:t>
      </w:r>
    </w:p>
    <w:p w14:paraId="16467F86" w14:textId="77777777" w:rsidR="002334BF" w:rsidRDefault="002334BF" w:rsidP="002334BF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otwartych konkursów ofert;</w:t>
      </w:r>
    </w:p>
    <w:p w14:paraId="2996F426" w14:textId="77777777" w:rsidR="002334BF" w:rsidRDefault="002334BF" w:rsidP="002334BF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ofert złożonych w otwartych konkursach ofert;</w:t>
      </w:r>
    </w:p>
    <w:p w14:paraId="1F211FB0" w14:textId="77777777" w:rsidR="002334BF" w:rsidRDefault="002334BF" w:rsidP="002334BF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umów zawartych na realizację zadania publicznego;</w:t>
      </w:r>
    </w:p>
    <w:p w14:paraId="54C95A29" w14:textId="77777777" w:rsidR="002334BF" w:rsidRDefault="002334BF" w:rsidP="002334BF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umów, które nie zostały zrealizowane (rozwiązane lub unieważnione);</w:t>
      </w:r>
    </w:p>
    <w:p w14:paraId="4B94ABB7" w14:textId="77777777" w:rsidR="002334BF" w:rsidRDefault="002334BF" w:rsidP="002334BF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zadań, których realizację zlecono organizacjom pozarządowym oraz podmiotom wymienionym w art. 3 ust. 3 ustawy</w:t>
      </w: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 w oparciu o środki budżetowe;</w:t>
      </w:r>
    </w:p>
    <w:p w14:paraId="218C56A3" w14:textId="77777777" w:rsidR="002334BF" w:rsidRDefault="002334BF" w:rsidP="002334BF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wysokość budżetowych środków finansowych przekazanych organizacjom pozarządowym oraz podmiotom wymienionym w art. 3 ust. 3 ustawy</w:t>
      </w: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 w poszczególnych obszarach zadaniowych;</w:t>
      </w:r>
    </w:p>
    <w:p w14:paraId="1FE465D0" w14:textId="77777777" w:rsidR="002334BF" w:rsidRDefault="002334BF" w:rsidP="002334BF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beneficjentów realizowanych zadań;</w:t>
      </w:r>
    </w:p>
    <w:p w14:paraId="182291B0" w14:textId="77777777" w:rsidR="002334BF" w:rsidRDefault="002334BF" w:rsidP="002334BF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organizacji pozarządowych oraz podmiotów wymienionych w art. 3 ust. 3 ustawy</w:t>
      </w: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>realizujących zadania publiczne w oparciu o środki budżetowe,</w:t>
      </w:r>
    </w:p>
    <w:p w14:paraId="013BDE77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rPr>
          <w:rFonts w:ascii="Times New Roman" w:eastAsia="ArialMT" w:hAnsi="Times New Roman" w:cs="ArialMT"/>
          <w:sz w:val="24"/>
          <w:szCs w:val="24"/>
          <w:lang w:eastAsia="zh-CN"/>
        </w:rPr>
      </w:pPr>
    </w:p>
    <w:p w14:paraId="70D22051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12</w:t>
      </w:r>
    </w:p>
    <w:p w14:paraId="482EC042" w14:textId="1FCFB613" w:rsidR="002334BF" w:rsidRDefault="002334BF" w:rsidP="002334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Cs/>
          <w:sz w:val="24"/>
          <w:szCs w:val="24"/>
          <w:lang w:eastAsia="zh-CN"/>
        </w:rPr>
        <w:t xml:space="preserve">Niniejszy „Roczny program” został uchwalony po konsultacjach przeprowadzonych </w:t>
      </w:r>
      <w:r w:rsidR="00E82800">
        <w:rPr>
          <w:rFonts w:ascii="Times New Roman" w:eastAsia="Arial" w:hAnsi="Times New Roman" w:cs="Arial"/>
          <w:bCs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bCs/>
          <w:sz w:val="24"/>
          <w:szCs w:val="24"/>
          <w:lang w:eastAsia="zh-CN"/>
        </w:rPr>
        <w:t>w sposób określony w uchwale nr IV/16/2011 Rady Gminy Wohyń z dnia 16 lutego 2011 r.</w:t>
      </w:r>
      <w:r w:rsidR="00E82800">
        <w:rPr>
          <w:rFonts w:ascii="Times New Roman" w:eastAsia="Arial" w:hAnsi="Times New Roman" w:cs="Arial"/>
          <w:bCs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bCs/>
          <w:sz w:val="24"/>
          <w:szCs w:val="24"/>
          <w:lang w:eastAsia="zh-CN"/>
        </w:rPr>
        <w:t xml:space="preserve"> w sprawie szczegółowego sposobu konsultowania z radami działalności pożytku publicznego </w:t>
      </w:r>
      <w:r w:rsidR="00E82800">
        <w:rPr>
          <w:rFonts w:ascii="Times New Roman" w:eastAsia="Arial" w:hAnsi="Times New Roman" w:cs="Arial"/>
          <w:bCs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bCs/>
          <w:sz w:val="24"/>
          <w:szCs w:val="24"/>
          <w:lang w:eastAsia="zh-CN"/>
        </w:rPr>
        <w:t>lub organizacjami pozarządowymi i podmiotami wymienionymi w art. 3 ust. 3 ustawy z dnia 24 kwietnia 2003 r.</w:t>
      </w:r>
      <w:r w:rsidR="00E82800">
        <w:rPr>
          <w:rFonts w:ascii="Times New Roman" w:eastAsia="Arial" w:hAnsi="Times New Roman" w:cs="Arial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bCs/>
          <w:sz w:val="24"/>
          <w:szCs w:val="24"/>
          <w:lang w:eastAsia="zh-CN"/>
        </w:rPr>
        <w:t xml:space="preserve">o działalności pożytku publicznego i o wolontariacie  projektów aktów prawa miejscowego w dziedzinach dotyczących działalności statutowej tych organizacji. </w:t>
      </w:r>
    </w:p>
    <w:p w14:paraId="4273124A" w14:textId="4E3169B3" w:rsidR="002334BF" w:rsidRPr="00E82800" w:rsidRDefault="002334BF" w:rsidP="00E828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i/>
          <w:iCs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  <w:t xml:space="preserve">Konsultacje zostały przeprowadzone w okresie od </w:t>
      </w:r>
      <w:r w:rsidR="00E82800">
        <w:rPr>
          <w:rFonts w:ascii="Times New Roman" w:eastAsia="Arial" w:hAnsi="Times New Roman" w:cs="Arial"/>
          <w:sz w:val="24"/>
          <w:szCs w:val="24"/>
          <w:lang w:eastAsia="zh-CN"/>
        </w:rPr>
        <w:t>………………………..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 r.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</w:r>
      <w:r w:rsidR="00E82800" w:rsidRPr="00E82800">
        <w:rPr>
          <w:rFonts w:ascii="Times New Roman" w:eastAsia="Arial" w:hAnsi="Times New Roman" w:cs="Arial"/>
          <w:i/>
          <w:iCs/>
          <w:sz w:val="24"/>
          <w:szCs w:val="24"/>
          <w:lang w:eastAsia="zh-CN"/>
        </w:rPr>
        <w:t>(krótki opis konsultacji)</w:t>
      </w:r>
    </w:p>
    <w:p w14:paraId="53916FC8" w14:textId="58B0DF47" w:rsidR="002334BF" w:rsidRDefault="002334BF" w:rsidP="00233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</w:p>
    <w:p w14:paraId="14728C2D" w14:textId="77777777" w:rsidR="00E82800" w:rsidRDefault="00E82800" w:rsidP="00233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D7A2FC4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13</w:t>
      </w:r>
    </w:p>
    <w:p w14:paraId="23871918" w14:textId="77777777" w:rsidR="002334BF" w:rsidRDefault="002334BF" w:rsidP="002334BF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Wójt w drodze zarządzenia powołuje komisję konkursową do opiniowania ofert w otwartym konkursie ofert. </w:t>
      </w:r>
    </w:p>
    <w:p w14:paraId="10DA6B9D" w14:textId="77777777" w:rsidR="002334BF" w:rsidRDefault="002334BF" w:rsidP="002334BF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każdego konkursu może być powołana odrębna komisja konkursowa. </w:t>
      </w:r>
    </w:p>
    <w:p w14:paraId="265F1ADD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9645EF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14</w:t>
      </w:r>
    </w:p>
    <w:p w14:paraId="0505BDC4" w14:textId="77777777" w:rsidR="002334BF" w:rsidRDefault="002334BF" w:rsidP="002334BF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Komisja konkursowa dokonuje oceny formalnej i merytorycznej złożonych ofert.</w:t>
      </w:r>
    </w:p>
    <w:p w14:paraId="484DB6CF" w14:textId="77777777" w:rsidR="002334BF" w:rsidRDefault="002334BF" w:rsidP="002334BF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Komisje podejmują decyzje większością głosów, w przypadku równej ilości głosów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decyduje głos przewodniczącego komisji. </w:t>
      </w:r>
    </w:p>
    <w:p w14:paraId="686AFC49" w14:textId="77777777" w:rsidR="002334BF" w:rsidRDefault="002334BF" w:rsidP="002334BF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Członkowie komisji dokonują oceny formalnej złożonych ofert w oparciu o kryteria określone w ogłoszeniu o konkursie.</w:t>
      </w:r>
    </w:p>
    <w:p w14:paraId="6B5D7B98" w14:textId="77777777" w:rsidR="002334BF" w:rsidRDefault="002334BF" w:rsidP="002334BF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Oferta nie spełniająca wymogów formalnych podlega odrzuceniu.</w:t>
      </w:r>
    </w:p>
    <w:p w14:paraId="7C5B78D1" w14:textId="77777777" w:rsidR="002334BF" w:rsidRDefault="002334BF" w:rsidP="002334BF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Po zapoznaniu się z merytoryczną treścią ofert, każdy członek komisji konkursowej dokonuje indywidualnie punktowej oceny w skali od jednego do dziesięciu punktów zgodnie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br/>
        <w:t xml:space="preserve"> ze wskaźnikami określonymi w ogłoszeniu konkursowym.</w:t>
      </w:r>
    </w:p>
    <w:p w14:paraId="5C36DAD7" w14:textId="77777777" w:rsidR="002334BF" w:rsidRDefault="002334BF" w:rsidP="002334BF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Ostateczna ocena merytoryczna oferty jest średnią arytmetyczną ocen poszczególnych członków komisji. </w:t>
      </w:r>
    </w:p>
    <w:p w14:paraId="3F76601E" w14:textId="77777777" w:rsidR="002334BF" w:rsidRDefault="002334BF" w:rsidP="002334BF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Z prac komisji sporządzany jest protokół. Sporządzony protokół powinien zawierać:</w:t>
      </w:r>
    </w:p>
    <w:p w14:paraId="3B523BF6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1)  imiona i nazwiska członków komisji konkursowej,</w:t>
      </w:r>
    </w:p>
    <w:p w14:paraId="5CD316C5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2) liczbę zgłoszonych ofert,</w:t>
      </w:r>
    </w:p>
    <w:p w14:paraId="291D6B92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3) wskazanie ofert odpowiadających warunkom konkursu,</w:t>
      </w:r>
    </w:p>
    <w:p w14:paraId="68B47802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4) wskazanie ofert nie odpowiadających warunkom konkursu lub zgłoszonych po terminie,</w:t>
      </w:r>
    </w:p>
    <w:p w14:paraId="6E6CD8DD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5) ilość punktów przyznawanych przez poszczególnych członków komisji oraz ostateczną ocena merytoryczną oferty </w:t>
      </w:r>
    </w:p>
    <w:p w14:paraId="60C884F4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6) propozycję rozstrzygnięcia konkursu wraz z proponowaną wysokością dotacji,</w:t>
      </w:r>
    </w:p>
    <w:p w14:paraId="07A1696C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7) podpisy członków komisji. </w:t>
      </w:r>
    </w:p>
    <w:p w14:paraId="56561379" w14:textId="77777777" w:rsidR="002334BF" w:rsidRDefault="002334BF" w:rsidP="002334BF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Protokół z prac komisji konkursowej zawierający wyniki oceny ofert oraz propozycja rozstrzygnięcia konkursu zostaną przedstawione Wójtowi Gminy Wohyń, który dokona ostatecznego wyboru i zdecyduje o wysokości dotacji.</w:t>
      </w:r>
    </w:p>
    <w:p w14:paraId="3F35EE7C" w14:textId="77777777" w:rsidR="002334BF" w:rsidRDefault="002334BF" w:rsidP="002334BF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>Komisja konkursowa rozwiązuje się z chwilą rozstrzygnięcia konkursu ofert.</w:t>
      </w:r>
    </w:p>
    <w:p w14:paraId="130AE99C" w14:textId="77777777" w:rsidR="002334BF" w:rsidRDefault="002334BF" w:rsidP="002334BF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14:paraId="24B0C1FE" w14:textId="77777777" w:rsidR="002334BF" w:rsidRDefault="002334BF" w:rsidP="002334BF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>§ 15</w:t>
      </w:r>
    </w:p>
    <w:p w14:paraId="2C0EE938" w14:textId="77777777" w:rsidR="002334BF" w:rsidRDefault="002334BF" w:rsidP="00E8280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Sprawozdanie z realizacji Programu zostanie opublikowane na stronie Urzędu Gminy Wohyń oraz w Biuletynie Informacji Publicznej.</w:t>
      </w:r>
    </w:p>
    <w:p w14:paraId="5315C8CF" w14:textId="77777777" w:rsidR="002334BF" w:rsidRDefault="002334BF" w:rsidP="00233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14:paraId="05C58146" w14:textId="77777777" w:rsidR="002334BF" w:rsidRDefault="002334BF" w:rsidP="002334BF"/>
    <w:p w14:paraId="04FD0644" w14:textId="77777777" w:rsidR="002334BF" w:rsidRDefault="002334BF" w:rsidP="002334BF"/>
    <w:p w14:paraId="79E61C24" w14:textId="77777777" w:rsidR="00F35175" w:rsidRDefault="00F35175"/>
    <w:sectPr w:rsidR="00F35175" w:rsidSect="00FE747A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ArialMT">
    <w:charset w:val="EE"/>
    <w:family w:val="swiss"/>
    <w:pitch w:val="default"/>
  </w:font>
  <w:font w:name="Antyk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DC3A39AA"/>
    <w:name w:val="WW8Num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BEE4DFE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BF"/>
    <w:rsid w:val="002334BF"/>
    <w:rsid w:val="00DC27EC"/>
    <w:rsid w:val="00DE75D4"/>
    <w:rsid w:val="00E82800"/>
    <w:rsid w:val="00F35175"/>
    <w:rsid w:val="00FB3420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AC8A"/>
  <w15:chartTrackingRefBased/>
  <w15:docId w15:val="{49A31BEE-37FA-4E61-8F75-743A4D26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4B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Kukiełka</dc:creator>
  <cp:keywords/>
  <dc:description/>
  <cp:lastModifiedBy>Wiesław Kukiełka</cp:lastModifiedBy>
  <cp:revision>7</cp:revision>
  <cp:lastPrinted>2021-11-04T09:41:00Z</cp:lastPrinted>
  <dcterms:created xsi:type="dcterms:W3CDTF">2021-11-04T09:11:00Z</dcterms:created>
  <dcterms:modified xsi:type="dcterms:W3CDTF">2021-11-05T15:08:00Z</dcterms:modified>
</cp:coreProperties>
</file>